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47FA9">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ISAF OFFSHORE SPECIAL REGULATIONS</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2671CE" w:rsidP="00447FA9">
                  <w:pPr>
                    <w:framePr w:hSpace="141" w:wrap="around" w:vAnchor="page" w:hAnchor="margin" w:y="1388"/>
                    <w:rPr>
                      <w:rFonts w:ascii="Arial" w:hAnsi="Arial" w:cs="Arial"/>
                      <w:b/>
                      <w:bCs/>
                      <w:i/>
                      <w:sz w:val="22"/>
                      <w:szCs w:val="22"/>
                    </w:rPr>
                  </w:pPr>
                  <w:r>
                    <w:rPr>
                      <w:rFonts w:ascii="Arial" w:hAnsi="Arial" w:cs="Arial"/>
                      <w:b/>
                      <w:bCs/>
                      <w:i/>
                    </w:rPr>
                    <w:t xml:space="preserve">                            ELEMENTOS DE SEGURIDAD - 201</w:t>
                  </w:r>
                  <w:r w:rsidR="00280BEF">
                    <w:rPr>
                      <w:rFonts w:ascii="Arial" w:hAnsi="Arial" w:cs="Arial"/>
                      <w:b/>
                      <w:bCs/>
                      <w:i/>
                    </w:rPr>
                    <w:t>6</w:t>
                  </w:r>
                </w:p>
              </w:tc>
            </w:tr>
          </w:tbl>
          <w:p w:rsidR="002671CE"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9"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47FA9">
            <w:pPr>
              <w:jc w:val="center"/>
              <w:rPr>
                <w:rFonts w:ascii="Arial" w:hAnsi="Arial" w:cs="Arial"/>
                <w:b/>
                <w:bCs/>
                <w:i/>
                <w:sz w:val="20"/>
                <w:szCs w:val="20"/>
              </w:rPr>
            </w:pPr>
            <w:r>
              <w:rPr>
                <w:rFonts w:ascii="Arial" w:hAnsi="Arial" w:cs="Arial"/>
                <w:b/>
                <w:bCs/>
                <w:sz w:val="16"/>
                <w:szCs w:val="16"/>
              </w:rPr>
              <w:t>Monocascos</w:t>
            </w:r>
            <w:r w:rsidR="00280BEF">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47FA9">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CUMPLE</w:t>
            </w:r>
          </w:p>
        </w:tc>
      </w:tr>
      <w:tr w:rsidR="002671CE"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Y/N</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 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3337BE" w:rsidRDefault="003337BE"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717AC1" w:rsidRDefault="00717AC1" w:rsidP="00447FA9">
            <w:pPr>
              <w:rPr>
                <w:rFonts w:ascii="Arial" w:hAnsi="Arial" w:cs="Arial"/>
                <w:sz w:val="16"/>
                <w:szCs w:val="16"/>
              </w:rPr>
            </w:pPr>
          </w:p>
          <w:p w:rsidR="00717AC1" w:rsidRDefault="00717AC1"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717AC1"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47FA9">
                  <w:pPr>
                    <w:rPr>
                      <w:rFonts w:ascii="Arial" w:hAnsi="Arial" w:cs="Arial"/>
                      <w:b/>
                      <w:sz w:val="16"/>
                      <w:szCs w:val="16"/>
                    </w:rPr>
                  </w:pPr>
                  <w:r w:rsidRPr="000E4C81">
                    <w:rPr>
                      <w:rFonts w:ascii="Arial" w:hAnsi="Arial" w:cs="Arial"/>
                      <w:b/>
                      <w:sz w:val="16"/>
                      <w:szCs w:val="16"/>
                    </w:rPr>
                    <w:t>Luces de navegación de respeto.</w:t>
                  </w:r>
                </w:p>
              </w:tc>
            </w:tr>
            <w:tr w:rsidR="00717AC1" w:rsidRPr="00330B93" w:rsidTr="00717AC1">
              <w:trPr>
                <w:trHeight w:val="285"/>
              </w:trPr>
              <w:tc>
                <w:tcPr>
                  <w:tcW w:w="9132" w:type="dxa"/>
                  <w:shd w:val="clear" w:color="auto" w:fill="auto"/>
                  <w:noWrap/>
                  <w:vAlign w:val="bottom"/>
                  <w:hideMark/>
                </w:tcPr>
                <w:p w:rsidR="00717AC1" w:rsidRPr="00330B93" w:rsidRDefault="00717AC1" w:rsidP="00447FA9">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487B08"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Default="00487B08" w:rsidP="00644E5B">
            <w:pPr>
              <w:rPr>
                <w:rFonts w:ascii="Arial" w:hAnsi="Arial" w:cs="Arial"/>
                <w:b/>
                <w:bCs/>
                <w:iCs/>
                <w:sz w:val="16"/>
                <w:szCs w:val="16"/>
                <w:lang w:val="en-US"/>
              </w:rPr>
            </w:pPr>
            <w:proofErr w:type="spellStart"/>
            <w:r>
              <w:rPr>
                <w:rFonts w:ascii="Arial" w:hAnsi="Arial" w:cs="Arial"/>
                <w:b/>
                <w:bCs/>
                <w:iCs/>
                <w:sz w:val="16"/>
                <w:szCs w:val="16"/>
                <w:lang w:val="en-US"/>
              </w:rPr>
              <w:t>Tanque</w:t>
            </w:r>
            <w:proofErr w:type="spellEnd"/>
            <w:r>
              <w:rPr>
                <w:rFonts w:ascii="Arial" w:hAnsi="Arial" w:cs="Arial"/>
                <w:b/>
                <w:bCs/>
                <w:iCs/>
                <w:sz w:val="16"/>
                <w:szCs w:val="16"/>
                <w:lang w:val="en-US"/>
              </w:rPr>
              <w:t xml:space="preserve"> </w:t>
            </w:r>
            <w:r w:rsidR="00FF4296">
              <w:rPr>
                <w:rFonts w:ascii="Arial" w:hAnsi="Arial" w:cs="Arial"/>
                <w:b/>
                <w:bCs/>
                <w:iCs/>
                <w:sz w:val="16"/>
                <w:szCs w:val="16"/>
                <w:lang w:val="en-US"/>
              </w:rPr>
              <w:t>con 10</w:t>
            </w:r>
            <w:r w:rsidR="00424C36">
              <w:rPr>
                <w:rFonts w:ascii="Arial" w:hAnsi="Arial" w:cs="Arial"/>
                <w:b/>
                <w:bCs/>
                <w:iCs/>
                <w:sz w:val="16"/>
                <w:szCs w:val="16"/>
                <w:lang w:val="en-US"/>
              </w:rPr>
              <w:t xml:space="preserve"> l. de combustible </w:t>
            </w:r>
            <w:r w:rsidR="00FF4296">
              <w:rPr>
                <w:rFonts w:ascii="Arial" w:hAnsi="Arial" w:cs="Arial"/>
                <w:b/>
                <w:bCs/>
                <w:iCs/>
                <w:sz w:val="16"/>
                <w:szCs w:val="16"/>
                <w:lang w:val="en-US"/>
              </w:rPr>
              <w:t xml:space="preserve">los de </w:t>
            </w:r>
            <w:proofErr w:type="spellStart"/>
            <w:r w:rsidR="00FF4296">
              <w:rPr>
                <w:rFonts w:ascii="Arial" w:hAnsi="Arial" w:cs="Arial"/>
                <w:b/>
                <w:bCs/>
                <w:iCs/>
                <w:sz w:val="16"/>
                <w:szCs w:val="16"/>
                <w:lang w:val="en-US"/>
              </w:rPr>
              <w:t>igual</w:t>
            </w:r>
            <w:proofErr w:type="spellEnd"/>
            <w:r w:rsidR="00FF4296">
              <w:rPr>
                <w:rFonts w:ascii="Arial" w:hAnsi="Arial" w:cs="Arial"/>
                <w:b/>
                <w:bCs/>
                <w:iCs/>
                <w:sz w:val="16"/>
                <w:szCs w:val="16"/>
                <w:lang w:val="en-US"/>
              </w:rPr>
              <w:t xml:space="preserve"> ó &lt; 11 m. LOA; y 15</w:t>
            </w:r>
            <w:r w:rsidR="00424C36">
              <w:rPr>
                <w:rFonts w:ascii="Arial" w:hAnsi="Arial" w:cs="Arial"/>
                <w:b/>
                <w:bCs/>
                <w:iCs/>
                <w:sz w:val="16"/>
                <w:szCs w:val="16"/>
                <w:lang w:val="en-US"/>
              </w:rPr>
              <w:t xml:space="preserve"> l. los &gt;11 m. &gt;LOA</w:t>
            </w:r>
          </w:p>
          <w:p w:rsidR="00644E5B" w:rsidRPr="00487B08" w:rsidRDefault="00644E5B" w:rsidP="00644E5B">
            <w:pPr>
              <w:rPr>
                <w:rFonts w:ascii="Arial" w:hAnsi="Arial" w:cs="Arial"/>
                <w:b/>
                <w:bCs/>
                <w:iCs/>
                <w:sz w:val="16"/>
                <w:szCs w:val="16"/>
                <w:lang w:val="en-US"/>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487B08"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424C36"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rPr>
            </w:pPr>
            <w:proofErr w:type="spellStart"/>
            <w:proofErr w:type="gramStart"/>
            <w:r>
              <w:rPr>
                <w:rFonts w:ascii="Arial" w:hAnsi="Arial" w:cs="Arial"/>
                <w:color w:val="212121"/>
                <w:sz w:val="16"/>
                <w:szCs w:val="16"/>
              </w:rPr>
              <w:t>an</w:t>
            </w:r>
            <w:proofErr w:type="spellEnd"/>
            <w:proofErr w:type="gramEnd"/>
            <w:r w:rsidRPr="00424C36">
              <w:rPr>
                <w:rFonts w:ascii="Arial" w:hAnsi="Arial" w:cs="Arial"/>
                <w:color w:val="212121"/>
                <w:sz w:val="16"/>
                <w:szCs w:val="16"/>
              </w:rPr>
              <w:t xml:space="preserve"> </w:t>
            </w:r>
            <w:proofErr w:type="spellStart"/>
            <w:r w:rsidRPr="00424C36">
              <w:rPr>
                <w:rFonts w:ascii="Arial" w:hAnsi="Arial" w:cs="Arial"/>
                <w:color w:val="212121"/>
                <w:sz w:val="16"/>
                <w:szCs w:val="16"/>
              </w:rPr>
              <w:t>tank</w:t>
            </w:r>
            <w:proofErr w:type="spellEnd"/>
            <w:r>
              <w:rPr>
                <w:rFonts w:ascii="Arial" w:hAnsi="Arial" w:cs="Arial"/>
                <w:color w:val="212121"/>
                <w:sz w:val="16"/>
                <w:szCs w:val="16"/>
              </w:rPr>
              <w:t xml:space="preserve"> fuel</w:t>
            </w:r>
            <w:r w:rsidRPr="00424C36">
              <w:rPr>
                <w:rFonts w:ascii="Arial" w:hAnsi="Arial" w:cs="Arial"/>
                <w:color w:val="212121"/>
                <w:sz w:val="16"/>
                <w:szCs w:val="16"/>
              </w:rPr>
              <w:t xml:space="preserve"> </w:t>
            </w:r>
            <w:proofErr w:type="spellStart"/>
            <w:r>
              <w:rPr>
                <w:rFonts w:ascii="Arial" w:hAnsi="Arial" w:cs="Arial"/>
                <w:color w:val="212121"/>
                <w:sz w:val="16"/>
                <w:szCs w:val="16"/>
              </w:rPr>
              <w:t>with</w:t>
            </w:r>
            <w:proofErr w:type="spellEnd"/>
            <w:r>
              <w:rPr>
                <w:rFonts w:ascii="Arial" w:hAnsi="Arial" w:cs="Arial"/>
                <w:color w:val="212121"/>
                <w:sz w:val="16"/>
                <w:szCs w:val="16"/>
              </w:rPr>
              <w:t xml:space="preserve"> 1</w:t>
            </w:r>
            <w:r w:rsidR="00FF4296">
              <w:rPr>
                <w:rFonts w:ascii="Arial" w:hAnsi="Arial" w:cs="Arial"/>
                <w:color w:val="212121"/>
                <w:sz w:val="16"/>
                <w:szCs w:val="16"/>
              </w:rPr>
              <w:t>0</w:t>
            </w:r>
            <w:r>
              <w:rPr>
                <w:rFonts w:ascii="Arial" w:hAnsi="Arial" w:cs="Arial"/>
                <w:color w:val="212121"/>
                <w:sz w:val="16"/>
                <w:szCs w:val="16"/>
              </w:rPr>
              <w:t xml:space="preserve"> l</w:t>
            </w:r>
            <w:r w:rsidRPr="00424C36">
              <w:rPr>
                <w:rFonts w:ascii="Arial" w:hAnsi="Arial" w:cs="Arial"/>
                <w:color w:val="212121"/>
                <w:sz w:val="16"/>
                <w:szCs w:val="16"/>
              </w:rPr>
              <w:t xml:space="preserve">. </w:t>
            </w:r>
            <w:r>
              <w:rPr>
                <w:rFonts w:ascii="Arial" w:hAnsi="Arial" w:cs="Arial"/>
                <w:color w:val="212121"/>
                <w:sz w:val="16"/>
                <w:szCs w:val="16"/>
              </w:rPr>
              <w:t xml:space="preserve">if LOA is = or </w:t>
            </w:r>
            <w:r w:rsidR="00FF4296">
              <w:rPr>
                <w:rFonts w:ascii="Arial" w:hAnsi="Arial" w:cs="Arial"/>
                <w:color w:val="212121"/>
                <w:sz w:val="16"/>
                <w:szCs w:val="16"/>
              </w:rPr>
              <w:t xml:space="preserve"> &lt; 11 m. ; and 15</w:t>
            </w:r>
            <w:r w:rsidRPr="00424C36">
              <w:rPr>
                <w:rFonts w:ascii="Arial" w:hAnsi="Arial" w:cs="Arial"/>
                <w:color w:val="212121"/>
                <w:sz w:val="16"/>
                <w:szCs w:val="16"/>
              </w:rPr>
              <w:t xml:space="preserve"> l . </w:t>
            </w:r>
            <w:proofErr w:type="gramStart"/>
            <w:r>
              <w:rPr>
                <w:rFonts w:ascii="Arial" w:hAnsi="Arial" w:cs="Arial"/>
                <w:color w:val="212121"/>
                <w:sz w:val="16"/>
                <w:szCs w:val="16"/>
              </w:rPr>
              <w:t>if</w:t>
            </w:r>
            <w:proofErr w:type="gramEnd"/>
            <w:r>
              <w:rPr>
                <w:rFonts w:ascii="Arial" w:hAnsi="Arial" w:cs="Arial"/>
                <w:color w:val="212121"/>
                <w:sz w:val="16"/>
                <w:szCs w:val="16"/>
              </w:rPr>
              <w:t xml:space="preserve"> LOA is &gt; 11 m. </w:t>
            </w:r>
          </w:p>
          <w:p w:rsidR="00487B08"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47FA9">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47FA9">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47FA9">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color w:val="000000" w:themeColor="text1"/>
                <w:sz w:val="16"/>
                <w:szCs w:val="16"/>
                <w:lang w:val="en-US"/>
              </w:rPr>
            </w:pPr>
          </w:p>
          <w:p w:rsidR="009A3CF0" w:rsidRPr="008A473E" w:rsidRDefault="009A3CF0"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47FA9">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FF4296"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b/>
                <w:sz w:val="16"/>
                <w:szCs w:val="16"/>
                <w:lang w:val="en-US"/>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FF4296">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w:t>
            </w:r>
          </w:p>
          <w:p w:rsidR="00644E5B" w:rsidRDefault="00644E5B" w:rsidP="00447FA9">
            <w:pPr>
              <w:rPr>
                <w:rFonts w:ascii="Arial" w:hAnsi="Arial" w:cs="Arial"/>
                <w:sz w:val="16"/>
                <w:szCs w:val="16"/>
                <w:lang w:val="en-US"/>
              </w:rPr>
            </w:pPr>
          </w:p>
          <w:p w:rsidR="00644E5B" w:rsidRDefault="00644E5B" w:rsidP="00447FA9">
            <w:pPr>
              <w:rPr>
                <w:rFonts w:ascii="Arial" w:hAnsi="Arial" w:cs="Arial"/>
                <w:sz w:val="16"/>
                <w:szCs w:val="16"/>
              </w:rPr>
            </w:pP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4.25</w:t>
            </w:r>
          </w:p>
          <w:p w:rsidR="009A3CF0" w:rsidRDefault="009A3CF0" w:rsidP="00447FA9">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spacing w:line="276" w:lineRule="auto"/>
              <w:rPr>
                <w:rFonts w:eastAsiaTheme="minorEastAsia"/>
                <w:sz w:val="22"/>
                <w:szCs w:val="22"/>
              </w:rPr>
            </w:pPr>
          </w:p>
        </w:tc>
      </w:tr>
      <w:tr w:rsidR="009A3CF0"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eastAsiaTheme="minorEastAsia"/>
                <w:sz w:val="22"/>
                <w:szCs w:val="22"/>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w:t>
            </w:r>
          </w:p>
          <w:p w:rsidR="009A3CF0" w:rsidRDefault="009A3CF0" w:rsidP="00447FA9">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rPr>
            </w:pPr>
            <w:r w:rsidRPr="00EF6252">
              <w:rPr>
                <w:rFonts w:ascii="Arial" w:hAnsi="Arial" w:cs="Arial"/>
                <w:b/>
                <w:sz w:val="16"/>
                <w:szCs w:val="16"/>
              </w:rPr>
              <w:lastRenderedPageBreak/>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r w:rsidRPr="00330B93">
              <w:rPr>
                <w:rFonts w:ascii="Arial" w:hAnsi="Arial" w:cs="Arial"/>
                <w:sz w:val="16"/>
                <w:szCs w:val="16"/>
              </w:rPr>
              <w:t> </w:t>
            </w:r>
          </w:p>
          <w:p w:rsidR="000B1BCB" w:rsidRPr="00330B93" w:rsidRDefault="000B1BCB" w:rsidP="00447FA9">
            <w:pPr>
              <w:rPr>
                <w:rFonts w:ascii="Arial" w:hAnsi="Arial" w:cs="Arial"/>
                <w:sz w:val="16"/>
                <w:szCs w:val="16"/>
              </w:rPr>
            </w:pPr>
            <w:r w:rsidRPr="00330B93">
              <w:rPr>
                <w:rFonts w:ascii="Arial" w:hAnsi="Arial" w:cs="Arial"/>
                <w:sz w:val="16"/>
                <w:szCs w:val="16"/>
                <w:lang w:val="en-US"/>
              </w:rPr>
              <w:t> </w:t>
            </w: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7B6343">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7B6343">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47FA9">
            <w:pPr>
              <w:rPr>
                <w:rFonts w:ascii="Arial" w:hAnsi="Arial" w:cs="Arial"/>
                <w:color w:val="FF0000"/>
                <w:sz w:val="16"/>
                <w:szCs w:val="16"/>
                <w:lang w:val="en-US"/>
              </w:rPr>
            </w:pPr>
          </w:p>
        </w:tc>
      </w:tr>
      <w:tr w:rsidR="00F6210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47FA9">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47FA9">
            <w:pPr>
              <w:rPr>
                <w:rFonts w:ascii="Arial" w:hAnsi="Arial" w:cs="Arial"/>
                <w:sz w:val="16"/>
                <w:szCs w:val="16"/>
              </w:rPr>
            </w:pPr>
            <w:r>
              <w:rPr>
                <w:rFonts w:ascii="Arial" w:hAnsi="Arial" w:cs="Arial"/>
                <w:sz w:val="16"/>
                <w:szCs w:val="16"/>
              </w:rPr>
              <w:t> </w:t>
            </w:r>
          </w:p>
          <w:p w:rsidR="00F6210E" w:rsidRDefault="00F6210E" w:rsidP="00447FA9">
            <w:pPr>
              <w:rPr>
                <w:rFonts w:ascii="Arial" w:hAnsi="Arial" w:cs="Arial"/>
                <w:sz w:val="16"/>
                <w:szCs w:val="16"/>
              </w:rPr>
            </w:pPr>
            <w:r>
              <w:rPr>
                <w:rFonts w:ascii="Arial" w:hAnsi="Arial" w:cs="Arial"/>
                <w:sz w:val="16"/>
                <w:szCs w:val="16"/>
              </w:rPr>
              <w:t> </w:t>
            </w:r>
          </w:p>
        </w:tc>
      </w:tr>
      <w:tr w:rsidR="00F6210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spellStart"/>
      <w:proofErr w:type="gramEnd"/>
      <w:r>
        <w:rPr>
          <w:sz w:val="16"/>
          <w:szCs w:val="16"/>
        </w:rPr>
        <w:t>Mr</w:t>
      </w:r>
      <w:proofErr w:type="spellEnd"/>
      <w:r>
        <w:rPr>
          <w:sz w:val="16"/>
          <w:szCs w:val="16"/>
        </w:rPr>
        <w:t xml:space="preserve">..............................................................................................................................................,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AF1B12" w:rsidRDefault="00AF1B12" w:rsidP="00AF1B12">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AF1B12" w:rsidRDefault="00AF1B12" w:rsidP="00AF1B12">
      <w:pPr>
        <w:autoSpaceDE w:val="0"/>
        <w:autoSpaceDN w:val="0"/>
        <w:adjustRightInd w:val="0"/>
        <w:jc w:val="center"/>
        <w:rPr>
          <w:rFonts w:ascii="Century Gothic" w:hAnsi="Century Gothic"/>
          <w:color w:val="000000"/>
        </w:rPr>
      </w:pPr>
      <w:r>
        <w:rPr>
          <w:rFonts w:ascii="Century Gothic" w:hAnsi="Century Gothic"/>
          <w:color w:val="000000"/>
        </w:rPr>
        <w:t>Recinto del Parador Conde de Gondomar</w:t>
      </w:r>
    </w:p>
    <w:p w:rsidR="00AF1B12" w:rsidRDefault="00AF1B12" w:rsidP="00AF1B12">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w:t>
      </w:r>
      <w:proofErr w:type="spellStart"/>
      <w:r>
        <w:rPr>
          <w:rFonts w:ascii="Century Gothic" w:hAnsi="Century Gothic"/>
          <w:color w:val="000000"/>
          <w:u w:val="single"/>
        </w:rPr>
        <w:t>Baiona</w:t>
      </w:r>
      <w:proofErr w:type="spellEnd"/>
      <w:r>
        <w:rPr>
          <w:rFonts w:ascii="Century Gothic" w:hAnsi="Century Gothic"/>
          <w:color w:val="000000"/>
          <w:u w:val="single"/>
        </w:rPr>
        <w:t xml:space="preserve"> </w:t>
      </w:r>
    </w:p>
    <w:p w:rsidR="00AF1B12" w:rsidRDefault="00AF1B12" w:rsidP="00AF1B12">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10" w:history="1">
        <w:r>
          <w:rPr>
            <w:rStyle w:val="Hipervnculo"/>
            <w:rFonts w:ascii="Century Gothic" w:hAnsi="Century Gothic"/>
            <w:b/>
            <w:color w:val="1F497D" w:themeColor="text2"/>
            <w:sz w:val="23"/>
            <w:szCs w:val="23"/>
          </w:rPr>
          <w:t>secretaria@mrcyb.com</w:t>
        </w:r>
      </w:hyperlink>
    </w:p>
    <w:p w:rsidR="00AF1B12" w:rsidRPr="001467A8" w:rsidRDefault="00AF1B12" w:rsidP="00AF1B12">
      <w:pPr>
        <w:autoSpaceDE w:val="0"/>
        <w:autoSpaceDN w:val="0"/>
        <w:adjustRightInd w:val="0"/>
        <w:jc w:val="center"/>
        <w:rPr>
          <w:sz w:val="72"/>
          <w:szCs w:val="72"/>
        </w:rPr>
      </w:pPr>
      <w:r>
        <w:rPr>
          <w:rFonts w:ascii="Century Gothic" w:hAnsi="Century Gothic"/>
          <w:color w:val="000000"/>
        </w:rPr>
        <w:t>Tel. + 34 986 385000 Fax. + 34 986 355061</w:t>
      </w:r>
    </w:p>
    <w:p w:rsidR="009255E9" w:rsidRDefault="009255E9" w:rsidP="002671CE">
      <w:pPr>
        <w:jc w:val="both"/>
        <w:rPr>
          <w:rFonts w:ascii="Tahoma" w:hAnsi="Tahoma" w:cs="Tahoma"/>
          <w:sz w:val="20"/>
        </w:rPr>
      </w:pPr>
    </w:p>
    <w:sectPr w:rsidR="009255E9" w:rsidSect="002671CE">
      <w:footerReference w:type="even" r:id="rId11"/>
      <w:footerReference w:type="default" r:id="rId12"/>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A6" w:rsidRDefault="007125A6">
      <w:r>
        <w:separator/>
      </w:r>
    </w:p>
  </w:endnote>
  <w:endnote w:type="continuationSeparator" w:id="0">
    <w:p w:rsidR="007125A6" w:rsidRDefault="007125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C020E1"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C020E1" w:rsidRPr="00C020E1">
      <w:fldChar w:fldCharType="begin"/>
    </w:r>
    <w:r w:rsidR="007C64D6">
      <w:instrText xml:space="preserve"> PAGE   \* MERGEFORMAT </w:instrText>
    </w:r>
    <w:r w:rsidR="00C020E1" w:rsidRPr="00C020E1">
      <w:fldChar w:fldCharType="separate"/>
    </w:r>
    <w:r w:rsidR="00D94F85" w:rsidRPr="00D94F85">
      <w:rPr>
        <w:rFonts w:asciiTheme="majorHAnsi" w:hAnsiTheme="majorHAnsi"/>
        <w:noProof/>
      </w:rPr>
      <w:t>3</w:t>
    </w:r>
    <w:r w:rsidR="00C020E1">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A6" w:rsidRDefault="007125A6">
      <w:r>
        <w:separator/>
      </w:r>
    </w:p>
  </w:footnote>
  <w:footnote w:type="continuationSeparator" w:id="0">
    <w:p w:rsidR="007125A6" w:rsidRDefault="00712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1138"/>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A40B5"/>
    <w:rsid w:val="003B47B3"/>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612C95"/>
    <w:rsid w:val="00620E22"/>
    <w:rsid w:val="006223C9"/>
    <w:rsid w:val="00643982"/>
    <w:rsid w:val="00644E5B"/>
    <w:rsid w:val="00647C5F"/>
    <w:rsid w:val="00652A6B"/>
    <w:rsid w:val="006732BB"/>
    <w:rsid w:val="00675724"/>
    <w:rsid w:val="006A7763"/>
    <w:rsid w:val="006F02B3"/>
    <w:rsid w:val="00701177"/>
    <w:rsid w:val="007125A6"/>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37A89"/>
    <w:rsid w:val="00844510"/>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20E1"/>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4F85"/>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mrcy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B720-6C68-446C-AA0D-24DA1F53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Fernando DESMARQUESL</cp:lastModifiedBy>
  <cp:revision>2</cp:revision>
  <cp:lastPrinted>2008-04-21T09:08:00Z</cp:lastPrinted>
  <dcterms:created xsi:type="dcterms:W3CDTF">2016-05-23T10:08:00Z</dcterms:created>
  <dcterms:modified xsi:type="dcterms:W3CDTF">2016-05-23T10:08:00Z</dcterms:modified>
</cp:coreProperties>
</file>